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1188E" w14:textId="0744DA1D" w:rsidR="006A55BE" w:rsidRDefault="00000000">
      <w:pPr>
        <w:pStyle w:val="Ttulo"/>
      </w:pPr>
      <w:r>
        <w:t xml:space="preserve">Guía rápida </w:t>
      </w:r>
    </w:p>
    <w:p w14:paraId="45B6B3EC" w14:textId="77777777" w:rsidR="006A55BE" w:rsidRDefault="00000000">
      <w:pPr>
        <w:pStyle w:val="Ttulo1"/>
      </w:pPr>
      <w:r>
        <w:t>1. ¿Para qué sirve el primer correo?</w:t>
      </w:r>
    </w:p>
    <w:p w14:paraId="0D213F1A" w14:textId="77777777" w:rsidR="006A55BE" w:rsidRDefault="00000000">
      <w:pPr>
        <w:rPr>
          <w:rFonts w:hint="eastAsia"/>
        </w:rPr>
      </w:pPr>
      <w:r>
        <w:t>Sirve para saber qué información quedó guardada después de registrar tu línea. La idea es distinguir entre los datos necesarios para dejar constancia de la vinculación y los elementos que pudieron usarse sólo para comprobar tu identidad, como una fotografía, una prueba de vida o una imagen de tu identificación.</w:t>
      </w:r>
    </w:p>
    <w:p w14:paraId="4F7E7E2B" w14:textId="77777777" w:rsidR="006A55BE" w:rsidRDefault="00000000">
      <w:pPr>
        <w:rPr>
          <w:rFonts w:hint="eastAsia"/>
        </w:rPr>
      </w:pPr>
      <w:r>
        <w:rPr>
          <w:b/>
        </w:rPr>
        <w:t xml:space="preserve">Cuándo enviarlo: </w:t>
      </w:r>
      <w:r>
        <w:t>cuando tu registro ya esté confirmado. Una ventana práctica es 24 a 72 horas después.</w:t>
      </w:r>
    </w:p>
    <w:p w14:paraId="42BB1A87" w14:textId="77777777" w:rsidR="006A55BE" w:rsidRDefault="00000000">
      <w:pPr>
        <w:rPr>
          <w:rFonts w:hint="eastAsia"/>
        </w:rPr>
      </w:pPr>
      <w:r>
        <w:t>Una respuesta clara debería decirte qué datos conservan y confirmar si guardan o no fotografía, biométricos o copia de la identificación. Si conservan algo adicional, debería explicar para qué y durante cuánto tiempo.</w:t>
      </w:r>
    </w:p>
    <w:p w14:paraId="1EF57DE5" w14:textId="77777777" w:rsidR="006A55BE" w:rsidRDefault="00000000">
      <w:pPr>
        <w:pStyle w:val="Ttulo1"/>
      </w:pPr>
      <w:r>
        <w:t>2. ¿Para qué sirve el segundo correo?</w:t>
      </w:r>
    </w:p>
    <w:p w14:paraId="4AEB6D4B" w14:textId="77777777" w:rsidR="006A55BE" w:rsidRDefault="00000000">
      <w:pPr>
        <w:rPr>
          <w:rFonts w:hint="eastAsia"/>
        </w:rPr>
      </w:pPr>
      <w:r>
        <w:t>Sirve para ir un paso más allá: preguntar si otra empresa o proveedor intervino en el proceso o trató tus datos después de la vinculación.</w:t>
      </w:r>
    </w:p>
    <w:p w14:paraId="44CCAB71" w14:textId="77777777" w:rsidR="006A55BE" w:rsidRDefault="00000000">
      <w:pPr>
        <w:rPr>
          <w:rFonts w:hint="eastAsia"/>
        </w:rPr>
      </w:pPr>
      <w:r>
        <w:rPr>
          <w:b/>
        </w:rPr>
        <w:t xml:space="preserve">Cuándo enviarlo: </w:t>
      </w:r>
      <w:r>
        <w:t>como seguimiento, unos 60 a 90 días después. No es un plazo obligatorio; simplemente permite hacer una segunda revisión cuando ya pasó un tiempo desde el registro.</w:t>
      </w:r>
    </w:p>
    <w:p w14:paraId="7AD9D5AE" w14:textId="77777777" w:rsidR="006A55BE" w:rsidRDefault="00000000">
      <w:pPr>
        <w:rPr>
          <w:rFonts w:hint="eastAsia"/>
        </w:rPr>
      </w:pPr>
      <w:r>
        <w:t>Una respuesta útil debería indicar si participaron proveedores o terceros, qué datos trataron, con qué finalidad y si todavía conservan algo. También conviene saber si actuaron por cuenta de tu compañía o si hubo una transferencia de datos.</w:t>
      </w:r>
    </w:p>
    <w:p w14:paraId="11E766EE" w14:textId="77777777" w:rsidR="006A55BE" w:rsidRDefault="00000000">
      <w:pPr>
        <w:pStyle w:val="Ttulo1"/>
      </w:pPr>
      <w:r>
        <w:t>3. ¿A dónde los envío?</w:t>
      </w:r>
    </w:p>
    <w:p w14:paraId="75646F88" w14:textId="77777777" w:rsidR="006A55BE" w:rsidRDefault="00000000">
      <w:pPr>
        <w:rPr>
          <w:rFonts w:hint="eastAsia"/>
        </w:rPr>
      </w:pPr>
      <w:r>
        <w:t>Busca el Aviso de Privacidad vigente de tu compañía y localiza el apartado “Derechos ARCO”, “Protección de Datos Personales” o similar. Ahí debe aparecer el correo, formulario o procedimiento oficial. Usa siempre ese canal.</w:t>
      </w:r>
    </w:p>
    <w:p w14:paraId="2917A1A7" w14:textId="4597B264" w:rsidR="006A55BE" w:rsidRDefault="00000000">
      <w:pPr>
        <w:rPr>
          <w:rFonts w:hint="eastAsia"/>
        </w:rPr>
      </w:pPr>
      <w:r>
        <w:t xml:space="preserve">Canales </w:t>
      </w:r>
      <w:proofErr w:type="spellStart"/>
      <w:r>
        <w:t>oficiales</w:t>
      </w:r>
      <w:proofErr w:type="spellEnd"/>
      <w:r>
        <w:t xml:space="preserve"> </w:t>
      </w:r>
      <w:proofErr w:type="spellStart"/>
      <w:r>
        <w:t>verificados</w:t>
      </w:r>
      <w:proofErr w:type="spellEnd"/>
      <w:r>
        <w:t xml:space="preserve"> al </w:t>
      </w:r>
      <w:r w:rsidR="00FA6A04">
        <w:t>20</w:t>
      </w:r>
      <w:r>
        <w:t xml:space="preserve"> de </w:t>
      </w:r>
      <w:proofErr w:type="spellStart"/>
      <w:r>
        <w:t>agosto</w:t>
      </w:r>
      <w:proofErr w:type="spellEnd"/>
      <w:r>
        <w:t xml:space="preserve"> de 2026:</w:t>
      </w:r>
    </w:p>
    <w:p w14:paraId="0AA15737" w14:textId="77777777" w:rsidR="006A55BE" w:rsidRDefault="00000000">
      <w:pPr>
        <w:pStyle w:val="Listaconvietas"/>
        <w:spacing w:after="60"/>
        <w:rPr>
          <w:rFonts w:hint="eastAsia"/>
        </w:rPr>
      </w:pPr>
      <w:r>
        <w:t xml:space="preserve">Telcel: </w:t>
      </w:r>
      <w:r w:rsidRPr="00FA6A04">
        <w:rPr>
          <w:highlight w:val="yellow"/>
        </w:rPr>
        <w:t>datospersonales@telcel.com</w:t>
      </w:r>
      <w:r>
        <w:t>. Telcel indica que la solicitud debe hacerse mediante su Formulario Único ARCO disponible en su Aviso de Privacidad.</w:t>
      </w:r>
    </w:p>
    <w:p w14:paraId="6A9BA0C2" w14:textId="77777777" w:rsidR="006A55BE" w:rsidRDefault="00000000">
      <w:pPr>
        <w:pStyle w:val="Listaconvietas"/>
        <w:spacing w:after="60"/>
        <w:rPr>
          <w:rFonts w:hint="eastAsia"/>
        </w:rPr>
      </w:pPr>
      <w:r>
        <w:t xml:space="preserve">AT&amp;T México: </w:t>
      </w:r>
      <w:r w:rsidRPr="00FA6A04">
        <w:rPr>
          <w:highlight w:val="yellow"/>
        </w:rPr>
        <w:t>mex.legal.protecciondatos@mx.att.com</w:t>
      </w:r>
      <w:r>
        <w:t>. Su aviso permite presentar escrito libre o su formato de solicitud ARCO.</w:t>
      </w:r>
    </w:p>
    <w:p w14:paraId="6F733320" w14:textId="67A3857C" w:rsidR="006A55BE" w:rsidRDefault="00000000">
      <w:pPr>
        <w:pStyle w:val="Listaconvietas"/>
        <w:spacing w:after="60"/>
        <w:rPr>
          <w:rFonts w:hint="eastAsia"/>
        </w:rPr>
      </w:pPr>
      <w:r>
        <w:t xml:space="preserve">Movistar México: </w:t>
      </w:r>
      <w:r w:rsidRPr="00FA6A04">
        <w:rPr>
          <w:highlight w:val="yellow"/>
        </w:rPr>
        <w:t>datos.personales.mx@telefonica.com</w:t>
      </w:r>
      <w:r>
        <w:t>.</w:t>
      </w:r>
      <w:r w:rsidR="00FA6A04">
        <w:br/>
      </w:r>
    </w:p>
    <w:p w14:paraId="317D4E1C" w14:textId="77777777" w:rsidR="006A55BE" w:rsidRDefault="00000000">
      <w:pPr>
        <w:rPr>
          <w:rFonts w:hint="eastAsia"/>
        </w:rPr>
      </w:pPr>
      <w:r>
        <w:t>Si usas un OMV u otra compañía, no copies automáticamente alguno de esos correos: revisa quién aparece como responsable en el Aviso de Privacidad de tu propia marca.</w:t>
      </w:r>
    </w:p>
    <w:p w14:paraId="2F2A48D6" w14:textId="77777777" w:rsidR="006A55BE" w:rsidRDefault="00000000">
      <w:pPr>
        <w:pStyle w:val="Ttulo1"/>
      </w:pPr>
      <w:r>
        <w:t>4. Antes de enviarlo</w:t>
      </w:r>
    </w:p>
    <w:p w14:paraId="04390A38" w14:textId="77777777" w:rsidR="006A55BE" w:rsidRDefault="00000000">
      <w:pPr>
        <w:pStyle w:val="Listaconvietas"/>
        <w:spacing w:after="60"/>
        <w:rPr>
          <w:rFonts w:hint="eastAsia"/>
        </w:rPr>
      </w:pPr>
      <w:r>
        <w:t>Completa todos los campos entre corchetes.</w:t>
      </w:r>
    </w:p>
    <w:p w14:paraId="1B49BCF8" w14:textId="77777777" w:rsidR="006A55BE" w:rsidRDefault="00000000">
      <w:pPr>
        <w:pStyle w:val="Listaconvietas"/>
        <w:spacing w:after="60"/>
        <w:rPr>
          <w:rFonts w:hint="eastAsia"/>
        </w:rPr>
      </w:pPr>
      <w:r>
        <w:t>Guarda tu folio, SMS o comprobante de vinculación.</w:t>
      </w:r>
    </w:p>
    <w:p w14:paraId="76E33987" w14:textId="77777777" w:rsidR="006A55BE" w:rsidRDefault="00000000">
      <w:pPr>
        <w:pStyle w:val="Listaconvietas"/>
        <w:spacing w:after="60"/>
        <w:rPr>
          <w:rFonts w:hint="eastAsia"/>
        </w:rPr>
      </w:pPr>
      <w:r>
        <w:t>Si la compañía tiene un formulario ARCO propio, úsalo y pega o adjunta el contenido del correo cuando sea posible.</w:t>
      </w:r>
    </w:p>
    <w:p w14:paraId="0622DC2B" w14:textId="77777777" w:rsidR="006A55BE" w:rsidRDefault="00000000">
      <w:pPr>
        <w:pStyle w:val="Listaconvietas"/>
        <w:spacing w:after="60"/>
        <w:rPr>
          <w:rFonts w:hint="eastAsia"/>
        </w:rPr>
      </w:pPr>
      <w:r>
        <w:lastRenderedPageBreak/>
        <w:t>No envíes tu identificación por WhatsApp, mensajes privados o correos que no aparezcan en el canal oficial.</w:t>
      </w:r>
    </w:p>
    <w:p w14:paraId="0265154C" w14:textId="77777777" w:rsidR="006A55BE" w:rsidRDefault="00000000">
      <w:pPr>
        <w:pStyle w:val="Listaconvietas"/>
        <w:spacing w:after="60"/>
        <w:rPr>
          <w:rFonts w:hint="eastAsia"/>
        </w:rPr>
      </w:pPr>
      <w:r>
        <w:t>La compañía puede pedirte acreditar tu identidad antes de entregarte información personal.</w:t>
      </w:r>
    </w:p>
    <w:p w14:paraId="7AEEB682" w14:textId="77777777" w:rsidR="006A55BE" w:rsidRDefault="00000000">
      <w:pPr>
        <w:pStyle w:val="Listaconvietas"/>
        <w:spacing w:after="60"/>
        <w:rPr>
          <w:rFonts w:hint="eastAsia"/>
        </w:rPr>
      </w:pPr>
      <w:r>
        <w:t>Guarda el correo enviado, el acuse o folio y la respuesta completa.</w:t>
      </w:r>
    </w:p>
    <w:p w14:paraId="32DC9862" w14:textId="77777777" w:rsidR="006A55BE" w:rsidRDefault="00000000">
      <w:pPr>
        <w:pStyle w:val="Ttulo1"/>
      </w:pPr>
      <w:r>
        <w:t>5. ¿Qué hago con la respuesta?</w:t>
      </w:r>
    </w:p>
    <w:p w14:paraId="53CEBB72" w14:textId="77777777" w:rsidR="006A55BE" w:rsidRDefault="00000000">
      <w:pPr>
        <w:rPr>
          <w:rFonts w:hint="eastAsia"/>
        </w:rPr>
      </w:pPr>
      <w:r>
        <w:t>Léela buscando respuestas concretas. Si sólo recibes una respuesta genérica, puedes contestar pidiendo que aclaren los puntos que dejaron sin responder. Si informan que conservan fotografía, biométricos o copia de identificación, guarda esa respuesta y revisa exactamente qué dicen conservar, con qué finalidad y fundamento antes de asumir que existe una irregularidad.</w:t>
      </w:r>
    </w:p>
    <w:p w14:paraId="55AD1E1A" w14:textId="64690CCF" w:rsidR="006A55BE" w:rsidRDefault="00000000" w:rsidP="00FA6A04">
      <w:pPr>
        <w:rPr>
          <w:rFonts w:hint="eastAsia"/>
        </w:rPr>
      </w:pPr>
      <w:r>
        <w:t xml:space="preserve">No publiques capturas sin ocultar tu nombre, número telefónico, CURP, folios, correos u otros </w:t>
      </w:r>
      <w:proofErr w:type="spellStart"/>
      <w:r>
        <w:t>datos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puedan</w:t>
      </w:r>
      <w:proofErr w:type="spellEnd"/>
      <w:r>
        <w:t xml:space="preserve"> </w:t>
      </w:r>
      <w:proofErr w:type="spellStart"/>
      <w:r>
        <w:t>identificarte</w:t>
      </w:r>
      <w:proofErr w:type="spellEnd"/>
      <w:r>
        <w:t>.</w:t>
      </w:r>
      <w:r w:rsidR="00FA6A04">
        <w:br/>
      </w:r>
    </w:p>
    <w:p w14:paraId="6D68AFEC" w14:textId="77777777" w:rsidR="006A55BE" w:rsidRDefault="00000000">
      <w:pPr>
        <w:pStyle w:val="Ttulo2"/>
      </w:pPr>
      <w:r>
        <w:t>Fuentes oficiales útiles</w:t>
      </w:r>
    </w:p>
    <w:p w14:paraId="6431E0D3" w14:textId="77777777" w:rsidR="006A55BE" w:rsidRDefault="00000000">
      <w:pPr>
        <w:pStyle w:val="Listaconvietas"/>
        <w:spacing w:after="60"/>
        <w:rPr>
          <w:rFonts w:hint="eastAsia"/>
        </w:rPr>
      </w:pPr>
      <w:r>
        <w:t>Telcel — Aviso de Privacidad: https://www.telcel.com/aviso-de-privacidad</w:t>
      </w:r>
    </w:p>
    <w:p w14:paraId="688AF4AA" w14:textId="77777777" w:rsidR="006A55BE" w:rsidRDefault="00000000">
      <w:pPr>
        <w:pStyle w:val="Listaconvietas"/>
        <w:spacing w:after="60"/>
        <w:rPr>
          <w:rFonts w:hint="eastAsia"/>
        </w:rPr>
      </w:pPr>
      <w:r>
        <w:t>AT&amp;T México — Aviso de Privacidad / legales: https://www.att.com.mx/legales.html</w:t>
      </w:r>
    </w:p>
    <w:p w14:paraId="35D8FAD2" w14:textId="77777777" w:rsidR="006A55BE" w:rsidRDefault="00000000">
      <w:pPr>
        <w:pStyle w:val="Listaconvietas"/>
        <w:spacing w:after="60"/>
        <w:rPr>
          <w:rFonts w:hint="eastAsia"/>
        </w:rPr>
      </w:pPr>
      <w:r>
        <w:t>Movistar México — Aviso de Privacidad: https://www.movistar.com.mx/informacion-para-clientes/aviso-de-privacidad</w:t>
      </w:r>
    </w:p>
    <w:p w14:paraId="601B14B1" w14:textId="77777777" w:rsidR="006A55BE" w:rsidRDefault="00000000">
      <w:pPr>
        <w:pStyle w:val="Listaconvietas"/>
        <w:spacing w:after="60"/>
        <w:rPr>
          <w:rFonts w:hint="eastAsia"/>
        </w:rPr>
      </w:pPr>
      <w:r>
        <w:t>Diario Oficial de la Federación — Lineamientos para la Identificación de Líneas Telefónicas Móviles.</w:t>
      </w:r>
    </w:p>
    <w:p w14:paraId="09F5B24E" w14:textId="77777777" w:rsidR="006A55BE" w:rsidRDefault="00000000">
      <w:pPr>
        <w:rPr>
          <w:rFonts w:hint="eastAsia"/>
        </w:rPr>
      </w:pPr>
      <w:r>
        <w:t>Material informativo. Antes de enviar una solicitud, verifica el Aviso de Privacidad vigente de tu proveedor, ya que los canales y procedimientos pueden cambiar.</w:t>
      </w:r>
    </w:p>
    <w:sectPr w:rsidR="006A55BE" w:rsidSect="00034616">
      <w:pgSz w:w="12240" w:h="15840"/>
      <w:pgMar w:top="1080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605569">
    <w:abstractNumId w:val="8"/>
  </w:num>
  <w:num w:numId="2" w16cid:durableId="1707293963">
    <w:abstractNumId w:val="6"/>
  </w:num>
  <w:num w:numId="3" w16cid:durableId="580414591">
    <w:abstractNumId w:val="5"/>
  </w:num>
  <w:num w:numId="4" w16cid:durableId="1331714263">
    <w:abstractNumId w:val="4"/>
  </w:num>
  <w:num w:numId="5" w16cid:durableId="772285462">
    <w:abstractNumId w:val="7"/>
  </w:num>
  <w:num w:numId="6" w16cid:durableId="585843213">
    <w:abstractNumId w:val="3"/>
  </w:num>
  <w:num w:numId="7" w16cid:durableId="1731683485">
    <w:abstractNumId w:val="2"/>
  </w:num>
  <w:num w:numId="8" w16cid:durableId="8484568">
    <w:abstractNumId w:val="1"/>
  </w:num>
  <w:num w:numId="9" w16cid:durableId="457795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85F50"/>
    <w:rsid w:val="006A55BE"/>
    <w:rsid w:val="00AA1D8D"/>
    <w:rsid w:val="00B47730"/>
    <w:rsid w:val="00CB0664"/>
    <w:rsid w:val="00FA6A0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F332D08"/>
  <w14:defaultImageDpi w14:val="300"/>
  <w15:docId w15:val="{61B11F4B-A823-4A45-9705-A4BD821A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color w:val="1F2933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B5D84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4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Ar Char</cp:lastModifiedBy>
  <cp:revision>2</cp:revision>
  <dcterms:created xsi:type="dcterms:W3CDTF">2026-08-27T20:04:00Z</dcterms:created>
  <dcterms:modified xsi:type="dcterms:W3CDTF">2026-08-27T20:04:00Z</dcterms:modified>
  <cp:category/>
</cp:coreProperties>
</file>